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1)</w:t>
        <w:tab/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a) Meet &amp; Greet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b)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c) Declaration of Conflict of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d) Pledge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e) Approval of Agenda*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f) Approve, Amend, Disapprove previous Minutes*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2160" w:firstLine="720"/>
        <w:rPr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December 13,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2)</w:t>
        <w:tab/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3)</w:t>
        <w:tab/>
        <w:t xml:space="preserve">Presentation &amp;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a) Building Update-JP Romero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72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b) Administrator Report-Kimberly Ritterhouse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4)</w:t>
        <w:tab/>
        <w:t xml:space="preserve">Discussion &amp; Potential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a) Monthly Finance Statement*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b) BARS*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c) Discussion and Possible action to Vote-Revised NMPED COVID Toolkit that addresses the current CDC and DOH Guidance*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5)</w:t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Executive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a) Consideration for approval to convene in Executive Session Pursuant to the Open Meetings Act NMSA 1978, Section 10-15-1(H)(2)Limited Personnel Matters for the purpose of discussion of staff*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b) Reconvene and statement of closure*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6)</w:t>
        <w:tab/>
        <w:t xml:space="preserve">Closing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a)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b) Current By-Laws-consideration of review and edits in the new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c) Next Regular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d)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ab/>
        <w:tab/>
        <w:t xml:space="preserve">*Action Items to be voted on by the Governance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41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296863</wp:posOffset>
              </wp:positionV>
              <wp:extent cx="923925" cy="292989"/>
              <wp:effectExtent b="0" l="0" r="0" t="0"/>
              <wp:wrapNone/>
              <wp:docPr id="48" name="" title="Document Title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638268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1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RED RIVER VALLEY CHARTER SCHOOL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posOffset>296863</wp:posOffset>
              </wp:positionV>
              <wp:extent cx="923925" cy="292989"/>
              <wp:effectExtent b="0" l="0" r="0" t="0"/>
              <wp:wrapNone/>
              <wp:docPr descr="Document Title" id="48" name="image1.png"/>
              <a:graphic>
                <a:graphicData uri="http://schemas.openxmlformats.org/drawingml/2006/picture">
                  <pic:pic>
                    <pic:nvPicPr>
                      <pic:cNvPr descr="Document Titl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292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152400</wp:posOffset>
              </wp:positionV>
              <wp:extent cx="2159635" cy="940435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70945" y="3314545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Red River Valley Charter School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500 E High Street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Red River, NM 87558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575-754-6117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www.redrivervalleycs.org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152400</wp:posOffset>
              </wp:positionV>
              <wp:extent cx="2159635" cy="940435"/>
              <wp:effectExtent b="0" l="0" r="0" t="0"/>
              <wp:wrapNone/>
              <wp:docPr id="4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635" cy="940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152400</wp:posOffset>
              </wp:positionV>
              <wp:extent cx="2159424" cy="940435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271051" y="3314545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Board Members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Courtney Henderson -President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Joe Ben Mandonado – Vice President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Heather Larson- Treasurer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Shelby Werley - Secretary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Reed Weimer - Member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4470400</wp:posOffset>
              </wp:positionH>
              <wp:positionV relativeFrom="paragraph">
                <wp:posOffset>152400</wp:posOffset>
              </wp:positionV>
              <wp:extent cx="2159424" cy="940435"/>
              <wp:effectExtent b="0" l="0" r="0" t="0"/>
              <wp:wrapNone/>
              <wp:docPr id="5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424" cy="940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152400</wp:posOffset>
              </wp:positionV>
              <wp:extent cx="2997835" cy="1017059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851845" y="3276233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Governance Council Regular Meeting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Monday, January 17, 2022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RRVCS Multi-Purpose Room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5:30 pm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152400</wp:posOffset>
              </wp:positionV>
              <wp:extent cx="2997835" cy="1017059"/>
              <wp:effectExtent b="0" l="0" r="0" t="0"/>
              <wp:wrapNone/>
              <wp:docPr id="5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7835" cy="101705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center"/>
      <w:rPr>
        <w:i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rFonts w:ascii="Arial" w:cs="Arial" w:eastAsia="Arial" w:hAnsi="Arial"/>
        <w:i w:val="1"/>
        <w:color w:val="1d1b1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Mission Statement : To provide every student the opportunity to develop </w:t>
    </w:r>
    <w:r w:rsidDel="00000000" w:rsidR="00000000" w:rsidRPr="00000000">
      <w:rPr>
        <w:rFonts w:ascii="Arial" w:cs="Arial" w:eastAsia="Arial" w:hAnsi="Arial"/>
        <w:i w:val="1"/>
        <w:color w:val="1d1b11"/>
        <w:sz w:val="18"/>
        <w:szCs w:val="18"/>
        <w:rtl w:val="0"/>
      </w:rPr>
      <w:t xml:space="preserve">academically, socially, and physically through quality learning experiences utilizing the Core Knowledge Curriculum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9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101600</wp:posOffset>
              </wp:positionV>
              <wp:extent cx="7137400" cy="22225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77300" y="3780000"/>
                        <a:ext cx="7137400" cy="0"/>
                      </a:xfrm>
                      <a:prstGeom prst="straightConnector1">
                        <a:avLst/>
                      </a:prstGeom>
                      <a:noFill/>
                      <a:ln cap="flat" cmpd="dbl" w="222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101600</wp:posOffset>
              </wp:positionV>
              <wp:extent cx="7137400" cy="22225"/>
              <wp:effectExtent b="0" l="0" r="0" t="0"/>
              <wp:wrapNone/>
              <wp:docPr id="5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740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874B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 w:val="1"/>
    <w:rsid w:val="00A874B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 w:val="1"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 w:val="1"/>
    <w:rsid w:val="00875D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Gb3Q9OMyu9sCdbu9q32sP5uqg==">AMUW2mUUlJx4c630vOwOkw7ubDz0STdECFCUKYMadBCltlZe50SmadOzipzUxzCl+vInN+aZeos5wYWxbJfKN2p0Sup0qv6Qvx7TrM84o9G9tpCv36AqkcjgKX4kep/VImyj8qHxS3Yn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2022-01-15T00:30:00Z</dcterms:created>
  <dc:creator>L Tate</dc:creator>
</cp:coreProperties>
</file>